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Pick any three digit number.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Reverse the digits, so write your number back to front.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Subtract the smaller of your two numbers from the larger one.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reverse the digits of the answer you get.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Add the answer to its reverse.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8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022.6666666666665"/>
        <w:gridCol w:w="3022.6666666666665"/>
        <w:gridCol w:w="3022.6666666666665"/>
        <w:tblGridChange w:id="0">
          <w:tblGrid>
            <w:gridCol w:w="3022.6666666666665"/>
            <w:gridCol w:w="3022.6666666666665"/>
            <w:gridCol w:w="302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7 2 3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3 2 7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3 9 6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+ 6 9 3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1 0 8 9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8 5 6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6 5 8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1 9 8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+ 8 9 1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1 0 8 9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3 9 2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2 9 3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0 9 9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+ 9 9 0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1 0 8 9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Choose some three-digit numbers of your own.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(Make sure the first and third digits are different)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Is there a pattern to all the answers?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Look at the calculations again. This time, the working is shown.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8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022.6666666666665"/>
        <w:gridCol w:w="3022.6666666666665"/>
        <w:gridCol w:w="3022.6666666666665"/>
        <w:tblGridChange w:id="0">
          <w:tblGrid>
            <w:gridCol w:w="3022.6666666666665"/>
            <w:gridCol w:w="3022.6666666666665"/>
            <w:gridCol w:w="302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3 2 7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3 9 6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+ 6 9 3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8 9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7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6 5 8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1 9 8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+ 8 9 1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2 9 3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8"/>
                <w:szCs w:val="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0 9 9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u w:val="single"/>
                <w:rtl w:val="0"/>
              </w:rPr>
              <w:t xml:space="preserve">+ 9 9 0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16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1 0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8 9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is the same in each example?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is different?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Does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every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example lead to the same answer?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prove it by using what you noticed by looking at the working?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11014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959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Subtraction Surprise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959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K3carL3WUWHnsIJU40OgbB9faw==">AMUW2mWHVljln7wb4m4RFdjRYPKLJxigT6+aWwEWpLXd8tCjF48emqbdEkFlvBLcHsjjGCzcpm7FbiDHR/97+hh7swCIDSN0bNc11BawRy4PdGVUEVmVGnQ=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